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7DBDAA76" w:rsidR="0090696E" w:rsidRPr="00F80A6E" w:rsidRDefault="001356E0"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Front End Planning</w:t>
      </w:r>
    </w:p>
    <w:p w14:paraId="284FB25D" w14:textId="20FD62FD" w:rsidR="00FD0109" w:rsidRDefault="00FD0109" w:rsidP="00FD0109">
      <w:pPr>
        <w:pStyle w:val="NormalWeb"/>
      </w:pPr>
      <w:r>
        <w:t xml:space="preserve">Front-End Planning (FEP) is a cornerstone process in the lifecycle of capital projects, emphasizing the development of project strategies, scope, cost, and schedule early to ensure alignment and mitigate risks. Research conducted by the Construction Industry Institute (CII) underscores its criticality, identifying the Project Definition Rating Index (PDRI) as a central tool for measuring project scope completeness and alignment, which are directly linked to project success (e.g., </w:t>
      </w:r>
      <w:hyperlink r:id="rId7" w:history="1">
        <w:r w:rsidRPr="007242A5">
          <w:rPr>
            <w:rStyle w:val="Hyperlink"/>
          </w:rPr>
          <w:t>RS314-1</w:t>
        </w:r>
      </w:hyperlink>
      <w:r>
        <w:t xml:space="preserve">, </w:t>
      </w:r>
      <w:hyperlink r:id="rId8" w:history="1">
        <w:r w:rsidRPr="007242A5">
          <w:rPr>
            <w:rStyle w:val="Hyperlink"/>
          </w:rPr>
          <w:t>RS268-1</w:t>
        </w:r>
      </w:hyperlink>
      <w:r>
        <w:t>).</w:t>
      </w:r>
    </w:p>
    <w:p w14:paraId="147A507C" w14:textId="55A0F6DB" w:rsidR="00FD0109" w:rsidRDefault="00FD0109" w:rsidP="00FD0109">
      <w:pPr>
        <w:pStyle w:val="NormalWeb"/>
      </w:pPr>
      <w:r>
        <w:t xml:space="preserve">The PDRI family of </w:t>
      </w:r>
      <w:proofErr w:type="gramStart"/>
      <w:r>
        <w:t>tools—</w:t>
      </w:r>
      <w:proofErr w:type="gramEnd"/>
      <w:r>
        <w:t>including those for small industrial, infrastructure, building, and renovation projects—uses weighted checklists to evaluate the scope definition. Projects with lower PDRI scores consistently outperform those with higher scores in terms of cost, schedule, and operational metrics. For example, small industrial projects with scores below 300 saw significantly better cost and schedule performance than those scoring higher (</w:t>
      </w:r>
      <w:hyperlink r:id="rId9" w:history="1">
        <w:r w:rsidR="000E5447" w:rsidRPr="007242A5">
          <w:rPr>
            <w:rStyle w:val="Hyperlink"/>
          </w:rPr>
          <w:t>RS314-1</w:t>
        </w:r>
      </w:hyperlink>
      <w:r>
        <w:t>). Similarly, infrastructure projects with PDRI scores below 200 demonstrated greater success in cost and schedule alignment (</w:t>
      </w:r>
      <w:hyperlink r:id="rId10" w:history="1">
        <w:r w:rsidR="000E5447" w:rsidRPr="007242A5">
          <w:rPr>
            <w:rStyle w:val="Hyperlink"/>
          </w:rPr>
          <w:t>RS268-1</w:t>
        </w:r>
      </w:hyperlink>
      <w:r>
        <w:t>).</w:t>
      </w:r>
    </w:p>
    <w:p w14:paraId="336E6F74" w14:textId="03B44E09" w:rsidR="00FD0109" w:rsidRDefault="00FD0109" w:rsidP="00FD0109">
      <w:pPr>
        <w:pStyle w:val="NormalWeb"/>
      </w:pPr>
      <w:r>
        <w:t>Key findings highlight the role of alignment between project participants in achieving success. Defined as ensuring all stakeholders work within tolerances to meet shared objectives, alignment mitigates risks of miscommunication and misalignment, as evidenced by tools like the Alignment Thermometer (</w:t>
      </w:r>
      <w:hyperlink r:id="rId11" w:history="1">
        <w:r w:rsidR="000E5447" w:rsidRPr="000E5447">
          <w:rPr>
            <w:rStyle w:val="Hyperlink"/>
          </w:rPr>
          <w:t>RS113-1</w:t>
        </w:r>
      </w:hyperlink>
      <w:r>
        <w:t>). Critical factors include early engagement of all stakeholders, well-structured processes, and the use of standardized tools like the PDRI for consistent evaluation (</w:t>
      </w:r>
      <w:hyperlink r:id="rId12" w:history="1">
        <w:r w:rsidRPr="000E5447">
          <w:rPr>
            <w:rStyle w:val="Hyperlink"/>
          </w:rPr>
          <w:t>RS113-1</w:t>
        </w:r>
      </w:hyperlink>
      <w:r>
        <w:t>).</w:t>
      </w:r>
    </w:p>
    <w:p w14:paraId="2EB676C7" w14:textId="0690F0B8" w:rsidR="00FD0109" w:rsidRDefault="00FD0109" w:rsidP="00FD0109">
      <w:pPr>
        <w:pStyle w:val="NormalWeb"/>
      </w:pPr>
      <w:r>
        <w:t xml:space="preserve">Renovation and revamp projects, which constitute around 30% of capital </w:t>
      </w:r>
      <w:proofErr w:type="gramStart"/>
      <w:r>
        <w:t>expenditures</w:t>
      </w:r>
      <w:proofErr w:type="gramEnd"/>
      <w:r>
        <w:t>, require additional considerations, such as addressing safety during operational interfaces and unforeseen site conditions. Tools like STAR (Shutdown Turnaround Alignment Review) and Project Condition Investigation cards are tailored to these unique challenges, emphasizing alignment, stakeholder engagement, and innovative approaches like modularization (</w:t>
      </w:r>
      <w:hyperlink r:id="rId13" w:history="1">
        <w:r w:rsidRPr="00C55848">
          <w:rPr>
            <w:rStyle w:val="Hyperlink"/>
          </w:rPr>
          <w:t>RS242-1</w:t>
        </w:r>
      </w:hyperlink>
      <w:r>
        <w:t>).</w:t>
      </w:r>
    </w:p>
    <w:p w14:paraId="28F78EA1" w14:textId="12928273" w:rsidR="00FD0109" w:rsidRDefault="00FD0109" w:rsidP="00FD0109">
      <w:pPr>
        <w:pStyle w:val="NormalWeb"/>
      </w:pPr>
      <w:r>
        <w:t>Lastly, the Maturity and Accuracy Total Rating System (FEED MATRS) was developed for large industrial projects to assess the engineering design's readiness and accuracy at the phase-gate stage. This tool has demonstrated a 24% improvement in cost performance and a 12% improvement in change order metrics for projects with high maturity and accuracy scores (</w:t>
      </w:r>
      <w:hyperlink r:id="rId14" w:history="1">
        <w:r w:rsidRPr="003D1CF2">
          <w:rPr>
            <w:rStyle w:val="Hyperlink"/>
          </w:rPr>
          <w:t>RS331-1</w:t>
        </w:r>
      </w:hyperlink>
      <w:r>
        <w:t>).</w:t>
      </w:r>
    </w:p>
    <w:p w14:paraId="3C278444" w14:textId="77777777" w:rsidR="00FD0109" w:rsidRDefault="00FD0109" w:rsidP="00FD0109">
      <w:pPr>
        <w:pStyle w:val="NormalWeb"/>
      </w:pPr>
      <w:r>
        <w:t>Across sectors, FEP not only ensures predictable cost and schedule outcomes but also fosters better operational performance and reduced project variability. Adopting structured FEP processes and leveraging tools like PDRI and FEED MATRS enable organizations to align strategies, define scopes comprehensively, and reduce project risks</w:t>
      </w:r>
    </w:p>
    <w:p w14:paraId="119858B7" w14:textId="3D99EC52" w:rsidR="00D556E1" w:rsidRDefault="00D556E1" w:rsidP="00A37ED8">
      <w:pPr>
        <w:pStyle w:val="NormalWeb"/>
      </w:pPr>
    </w:p>
    <w:sectPr w:rsidR="00D556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DF624" w14:textId="77777777" w:rsidR="000A3FD2" w:rsidRDefault="000A3FD2" w:rsidP="009F6396">
      <w:pPr>
        <w:spacing w:after="0" w:line="240" w:lineRule="auto"/>
      </w:pPr>
      <w:r>
        <w:separator/>
      </w:r>
    </w:p>
  </w:endnote>
  <w:endnote w:type="continuationSeparator" w:id="0">
    <w:p w14:paraId="3295CAC5" w14:textId="77777777" w:rsidR="000A3FD2" w:rsidRDefault="000A3FD2"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F69D4" w14:textId="77777777" w:rsidR="000A3FD2" w:rsidRDefault="000A3FD2" w:rsidP="009F6396">
      <w:pPr>
        <w:spacing w:after="0" w:line="240" w:lineRule="auto"/>
      </w:pPr>
      <w:r>
        <w:separator/>
      </w:r>
    </w:p>
  </w:footnote>
  <w:footnote w:type="continuationSeparator" w:id="0">
    <w:p w14:paraId="46E74223" w14:textId="77777777" w:rsidR="000A3FD2" w:rsidRDefault="000A3FD2"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3"/>
  </w:num>
  <w:num w:numId="4" w16cid:durableId="642270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gFACpasiwtAAAA"/>
  </w:docVars>
  <w:rsids>
    <w:rsidRoot w:val="00B30BC0"/>
    <w:rsid w:val="000374DD"/>
    <w:rsid w:val="000A3FD2"/>
    <w:rsid w:val="000D3987"/>
    <w:rsid w:val="000E5447"/>
    <w:rsid w:val="000F06EE"/>
    <w:rsid w:val="00110278"/>
    <w:rsid w:val="001356E0"/>
    <w:rsid w:val="0023691A"/>
    <w:rsid w:val="00251733"/>
    <w:rsid w:val="0027452F"/>
    <w:rsid w:val="003A0542"/>
    <w:rsid w:val="003A0A11"/>
    <w:rsid w:val="003D1CF2"/>
    <w:rsid w:val="00484455"/>
    <w:rsid w:val="004F7312"/>
    <w:rsid w:val="00516185"/>
    <w:rsid w:val="00553CF5"/>
    <w:rsid w:val="0067243C"/>
    <w:rsid w:val="006814FC"/>
    <w:rsid w:val="006F4836"/>
    <w:rsid w:val="007242A5"/>
    <w:rsid w:val="00724F7D"/>
    <w:rsid w:val="007769CE"/>
    <w:rsid w:val="007E13D2"/>
    <w:rsid w:val="00814252"/>
    <w:rsid w:val="008921B2"/>
    <w:rsid w:val="008F34F5"/>
    <w:rsid w:val="008F419F"/>
    <w:rsid w:val="0090696E"/>
    <w:rsid w:val="00932096"/>
    <w:rsid w:val="00947E5F"/>
    <w:rsid w:val="009A4F6B"/>
    <w:rsid w:val="009E3CC9"/>
    <w:rsid w:val="009F6396"/>
    <w:rsid w:val="00A37ED8"/>
    <w:rsid w:val="00A445C7"/>
    <w:rsid w:val="00A47946"/>
    <w:rsid w:val="00AC41AB"/>
    <w:rsid w:val="00B30BC0"/>
    <w:rsid w:val="00B32BE7"/>
    <w:rsid w:val="00B8592A"/>
    <w:rsid w:val="00C55848"/>
    <w:rsid w:val="00C62A84"/>
    <w:rsid w:val="00C87D93"/>
    <w:rsid w:val="00D370E9"/>
    <w:rsid w:val="00D556E1"/>
    <w:rsid w:val="00DB7A9E"/>
    <w:rsid w:val="00E26FF2"/>
    <w:rsid w:val="00EF6929"/>
    <w:rsid w:val="00F430D0"/>
    <w:rsid w:val="00F70C33"/>
    <w:rsid w:val="00F80A6E"/>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7242A5"/>
    <w:rPr>
      <w:color w:val="467886" w:themeColor="hyperlink"/>
      <w:u w:val="single"/>
    </w:rPr>
  </w:style>
  <w:style w:type="character" w:styleId="UnresolvedMention">
    <w:name w:val="Unresolved Mention"/>
    <w:basedOn w:val="DefaultParagraphFont"/>
    <w:uiPriority w:val="99"/>
    <w:semiHidden/>
    <w:unhideWhenUsed/>
    <w:rsid w:val="00724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front-end-planning-tool-pdri-for-infrastructure-projects" TargetMode="External"/><Relationship Id="rId13" Type="http://schemas.openxmlformats.org/officeDocument/2006/relationships/hyperlink" Target="https://www.construction-institute.org/front-end-planning-for-renovation-and-revamp-projects-an-overview"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construction-institute.org/front-end-planning-tool-pdri-small-industrial-projects" TargetMode="External"/><Relationship Id="rId12" Type="http://schemas.openxmlformats.org/officeDocument/2006/relationships/hyperlink" Target="https://www.construction-institute.org/pre-project-planning-tools-pdri-and-alignment"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pre-project-planning-tools-pdri-and-align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onstruction-institute.org/front-end-planning-tool-pdri-for-infrastructure-projects"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www.construction-institute.org/front-end-planning-tool-pdri-small-industrial-projects" TargetMode="External"/><Relationship Id="rId14" Type="http://schemas.openxmlformats.org/officeDocument/2006/relationships/hyperlink" Target="https://www.construction-institute.org/assessing-the-maturity-and-accuracy-of-front-end-engineering-des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FF98D165-1DBE-47FC-BC8C-B8DDB4A327DF}"/>
</file>

<file path=customXml/itemProps2.xml><?xml version="1.0" encoding="utf-8"?>
<ds:datastoreItem xmlns:ds="http://schemas.openxmlformats.org/officeDocument/2006/customXml" ds:itemID="{23CB62FD-5DA9-40A9-B576-C8E840D64EA3}"/>
</file>

<file path=customXml/itemProps3.xml><?xml version="1.0" encoding="utf-8"?>
<ds:datastoreItem xmlns:ds="http://schemas.openxmlformats.org/officeDocument/2006/customXml" ds:itemID="{960B548C-491E-44CE-B9BE-390EBF05B098}"/>
</file>

<file path=docProps/app.xml><?xml version="1.0" encoding="utf-8"?>
<Properties xmlns="http://schemas.openxmlformats.org/officeDocument/2006/extended-properties" xmlns:vt="http://schemas.openxmlformats.org/officeDocument/2006/docPropsVTypes">
  <Template>Normal</Template>
  <TotalTime>12</TotalTime>
  <Pages>1</Pages>
  <Words>489</Words>
  <Characters>3166</Characters>
  <Application>Microsoft Office Word</Application>
  <DocSecurity>0</DocSecurity>
  <Lines>46</Lines>
  <Paragraphs>12</Paragraphs>
  <ScaleCrop>false</ScaleCrop>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26</cp:revision>
  <dcterms:created xsi:type="dcterms:W3CDTF">2024-11-05T22:07:00Z</dcterms:created>
  <dcterms:modified xsi:type="dcterms:W3CDTF">2025-02-22T16:42:00Z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61bf1ffa4aa22dac8259696cccb803b5e4031ec8e7e3eaf67dc8d19a1a0f24ca</vt:lpwstr>
  </property>
  <property fmtid="{D5CDD505-2E9C-101B-9397-08002B2CF9AE}" pid="3" name="ContentTypeId">
    <vt:lpwstr>0x0101001F56B6FB67BA7344822A4C8A67F56F7F</vt:lpwstr>
  </property>
</Properties>
</file>